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E7958" w14:textId="3994BED1"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372ABF">
        <w:rPr>
          <w:rFonts w:ascii="Times New Roman" w:eastAsia="Times New Roman" w:hAnsi="Times New Roman"/>
          <w:b/>
          <w:bCs/>
          <w:lang w:eastAsia="el-GR"/>
        </w:rPr>
        <w:tab/>
      </w:r>
      <w:r w:rsidR="00372ABF">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D00AF1">
        <w:rPr>
          <w:rFonts w:ascii="Times New Roman" w:eastAsia="Times New Roman" w:hAnsi="Times New Roman"/>
          <w:b/>
          <w:bCs/>
          <w:lang w:eastAsia="el-GR"/>
        </w:rPr>
        <w:t>16</w:t>
      </w:r>
      <w:r>
        <w:rPr>
          <w:rFonts w:ascii="Times New Roman" w:eastAsia="Times New Roman" w:hAnsi="Times New Roman"/>
          <w:b/>
          <w:bCs/>
          <w:lang w:eastAsia="el-GR"/>
        </w:rPr>
        <w:t>/</w:t>
      </w:r>
      <w:r w:rsidR="00005542">
        <w:rPr>
          <w:rFonts w:ascii="Times New Roman" w:eastAsia="Times New Roman" w:hAnsi="Times New Roman"/>
          <w:b/>
          <w:bCs/>
          <w:lang w:eastAsia="el-GR"/>
        </w:rPr>
        <w:t>3</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883" w:type="pct"/>
        <w:tblCellMar>
          <w:left w:w="0" w:type="dxa"/>
          <w:right w:w="0" w:type="dxa"/>
        </w:tblCellMar>
        <w:tblLook w:val="04A0" w:firstRow="1" w:lastRow="0" w:firstColumn="1" w:lastColumn="0" w:noHBand="0" w:noVBand="1"/>
      </w:tblPr>
      <w:tblGrid>
        <w:gridCol w:w="13343"/>
      </w:tblGrid>
      <w:tr w:rsidR="0085546F" w14:paraId="097F0C87" w14:textId="77777777" w:rsidTr="00AA0413">
        <w:tc>
          <w:tcPr>
            <w:tcW w:w="13343" w:type="dxa"/>
            <w:shd w:val="clear" w:color="auto" w:fill="auto"/>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rsidTr="00AA0413">
        <w:tc>
          <w:tcPr>
            <w:tcW w:w="13343" w:type="dxa"/>
            <w:shd w:val="clear" w:color="auto" w:fill="auto"/>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rsidTr="00AA0413">
        <w:tc>
          <w:tcPr>
            <w:tcW w:w="13343" w:type="dxa"/>
            <w:shd w:val="clear" w:color="auto" w:fill="auto"/>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r>
              <w:rPr>
                <w:rFonts w:ascii="Times New Roman" w:eastAsia="Times New Roman" w:hAnsi="Times New Roman"/>
                <w:lang w:val="en-US" w:eastAsia="el-GR"/>
              </w:rPr>
              <w:t>elmekerkyras</w:t>
            </w:r>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r>
                <w:rPr>
                  <w:rStyle w:val="-"/>
                  <w:rFonts w:ascii="Times New Roman" w:eastAsia="Times New Roman" w:hAnsi="Times New Roman"/>
                  <w:lang w:val="en-US" w:eastAsia="el-GR"/>
                </w:rPr>
                <w:t>facebook</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121DB916" w14:textId="77777777" w:rsidR="004D5B08" w:rsidRPr="004D5B08" w:rsidRDefault="004D5B08" w:rsidP="004D5B08">
      <w:pPr>
        <w:spacing w:after="0" w:line="240" w:lineRule="auto"/>
        <w:contextualSpacing/>
        <w:jc w:val="center"/>
        <w:rPr>
          <w:rFonts w:cstheme="minorHAnsi"/>
          <w:b/>
        </w:rPr>
      </w:pPr>
      <w:bookmarkStart w:id="0" w:name="_Hlk63883580"/>
      <w:r w:rsidRPr="004D5B08">
        <w:rPr>
          <w:rFonts w:cstheme="minorHAnsi"/>
          <w:b/>
        </w:rPr>
        <w:t>Για τον εσωτερικό κανονισμό</w:t>
      </w:r>
    </w:p>
    <w:p w14:paraId="1952343F" w14:textId="77777777" w:rsidR="004D5B08" w:rsidRPr="004D5B08" w:rsidRDefault="004D5B08" w:rsidP="004D5B08">
      <w:pPr>
        <w:spacing w:after="0" w:line="240" w:lineRule="auto"/>
        <w:contextualSpacing/>
        <w:jc w:val="both"/>
        <w:rPr>
          <w:rFonts w:cstheme="minorHAnsi"/>
        </w:rPr>
      </w:pPr>
    </w:p>
    <w:p w14:paraId="01AB11A8" w14:textId="77777777" w:rsidR="004D5B08" w:rsidRPr="004D5B08" w:rsidRDefault="004D5B08" w:rsidP="004D5B08">
      <w:pPr>
        <w:spacing w:after="0" w:line="240" w:lineRule="auto"/>
        <w:ind w:firstLine="720"/>
        <w:contextualSpacing/>
        <w:jc w:val="both"/>
        <w:rPr>
          <w:rFonts w:cstheme="minorHAnsi"/>
        </w:rPr>
      </w:pPr>
      <w:r w:rsidRPr="004D5B08">
        <w:rPr>
          <w:rFonts w:cstheme="minorHAnsi"/>
        </w:rPr>
        <w:t>Η πολιτική ηγεσία του ΥΠΑΙΘ δεν παύει να μας εκπλήσσει με συνεχείς κινήσεις που αποδεικνύουν το μέγεθος της άγνοιας της για την εκπαιδευτική πραγματικότητα και αλλά και την πλήρη αδιαφορία της για όσα ταλανίζουν την εκπαιδευτική κοινότητα.</w:t>
      </w:r>
    </w:p>
    <w:p w14:paraId="1AD1196C" w14:textId="77777777" w:rsidR="004D5B08" w:rsidRPr="004D5B08" w:rsidRDefault="004D5B08" w:rsidP="004D5B08">
      <w:pPr>
        <w:spacing w:after="0" w:line="240" w:lineRule="auto"/>
        <w:ind w:firstLine="720"/>
        <w:contextualSpacing/>
        <w:jc w:val="both"/>
        <w:rPr>
          <w:rFonts w:cstheme="minorHAnsi"/>
        </w:rPr>
      </w:pPr>
      <w:r w:rsidRPr="004D5B08">
        <w:rPr>
          <w:rFonts w:cstheme="minorHAnsi"/>
        </w:rPr>
        <w:t xml:space="preserve">Ένα χρόνο μετά την πρώτη αναστολή λειτουργίας των σχολικών μονάδων, κατά τη διάρκεια του οποίου τα σχολεία ανοιγοκλείνουν συνεχώς, με τα προβλήματα τους -υγειονομικά, εκπαιδευτικά και ψυχοπαιδαγωγικά- να γιγαντώνονται, αφού ΥΠΑΙΘ και κυβέρνηση δεν έχουν πάρει κανένα ουσιαστικό μέτρο, η προτεραιότητα για το ΥΠΑΙΘ είναι η σύνταξη ενός εσωτερικού κανονισμού λειτουργίας των σχολείων! </w:t>
      </w:r>
      <w:r w:rsidRPr="004D5B08">
        <w:rPr>
          <w:rFonts w:cstheme="minorHAnsi"/>
          <w:b/>
        </w:rPr>
        <w:t>Τι κι αν τα σχολεία δεν λειτουργούν; Τι κι αν μαθητές/τριες και εκπαιδευτικοί έχουν φτάσει στα όριά τους με την κατάσταση που βιώνουν; Το ΥΠΑΙΘ απαιτεί να μπουν αυστηροί κανόνες για όλους/ες!</w:t>
      </w:r>
      <w:r w:rsidRPr="004D5B08">
        <w:rPr>
          <w:rFonts w:cstheme="minorHAnsi"/>
        </w:rPr>
        <w:t xml:space="preserve"> </w:t>
      </w:r>
    </w:p>
    <w:p w14:paraId="62C91156" w14:textId="77777777" w:rsidR="004D5B08" w:rsidRPr="004D5B08" w:rsidRDefault="004D5B08" w:rsidP="004D5B08">
      <w:pPr>
        <w:spacing w:after="0" w:line="240" w:lineRule="auto"/>
        <w:ind w:firstLine="720"/>
        <w:contextualSpacing/>
        <w:jc w:val="both"/>
        <w:rPr>
          <w:rFonts w:cstheme="minorHAnsi"/>
        </w:rPr>
      </w:pPr>
      <w:r w:rsidRPr="004D5B08">
        <w:rPr>
          <w:rFonts w:eastAsia="Times New Roman" w:cstheme="minorHAnsi"/>
          <w:lang w:eastAsia="el-GR"/>
        </w:rPr>
        <w:t>Η συγκεκριμένη διαδικασία προβλέπεται από τον ν.4692/20 που ψήφισε η κυβέρνηση της Ν.Δ τον περασμένο Μάιο.</w:t>
      </w:r>
      <w:r w:rsidRPr="004D5B08">
        <w:rPr>
          <w:rFonts w:cstheme="minorHAnsi"/>
        </w:rPr>
        <w:t xml:space="preserve"> </w:t>
      </w:r>
      <w:r w:rsidRPr="004D5B08">
        <w:rPr>
          <w:rFonts w:eastAsia="Times New Roman" w:cstheme="minorHAnsi"/>
          <w:lang w:eastAsia="el-GR"/>
        </w:rPr>
        <w:t>Ο εσωτερικός κανονισμός δεν είναι απλά μια τυπική υποχρέωση. Η κυβέρνηση ανοίγει επικίνδυνους δρόμους. Έχει άλλες στοχεύσεις.</w:t>
      </w:r>
    </w:p>
    <w:p w14:paraId="56AAFD90" w14:textId="77777777" w:rsidR="004D5B08" w:rsidRPr="004D5B08" w:rsidRDefault="004D5B08" w:rsidP="004D5B08">
      <w:pPr>
        <w:numPr>
          <w:ilvl w:val="0"/>
          <w:numId w:val="16"/>
        </w:numPr>
        <w:spacing w:after="0" w:line="240" w:lineRule="auto"/>
        <w:contextualSpacing/>
        <w:jc w:val="both"/>
        <w:rPr>
          <w:rFonts w:cstheme="minorHAnsi"/>
        </w:rPr>
      </w:pPr>
      <w:r w:rsidRPr="004D5B08">
        <w:rPr>
          <w:rFonts w:cstheme="minorHAnsi"/>
        </w:rPr>
        <w:t xml:space="preserve">Ο «εσωτερικός» κανονισμός δεν θα ορίζεται μόνο από την εκπαιδευτική κοινότητα του κάθε σχολείου, αλλά ακόμα και από εκπρόσωπο του Δήμου, ενώ απαιτείται και έγκρισή του από τους ΣΕΕ και τους ΔΔΕ! </w:t>
      </w:r>
      <w:r w:rsidRPr="004D5B08">
        <w:rPr>
          <w:rFonts w:cstheme="minorHAnsi"/>
          <w:lang w:eastAsia="el-GR"/>
        </w:rPr>
        <w:t>Είναι αυτονόητο ότι ο περίφημος  Νέος Κανονισμός δεν είναι αποτέλεσμα της δημοκρατικής συνεργασίας των μελών του συλλόγου, άλλα επιβάλλεται, μετά από την έγκριση των προϊσταμένων αρχών και με τη συμμετοχή όλων των εμπλεκομένων φορέων</w:t>
      </w:r>
    </w:p>
    <w:p w14:paraId="78CE57AC" w14:textId="77777777" w:rsidR="004D5B08" w:rsidRPr="004D5B08" w:rsidRDefault="004D5B08" w:rsidP="004D5B08">
      <w:pPr>
        <w:numPr>
          <w:ilvl w:val="0"/>
          <w:numId w:val="16"/>
        </w:numPr>
        <w:spacing w:after="0" w:line="240" w:lineRule="auto"/>
        <w:contextualSpacing/>
        <w:jc w:val="both"/>
        <w:rPr>
          <w:rFonts w:cstheme="minorHAnsi"/>
        </w:rPr>
      </w:pPr>
      <w:r w:rsidRPr="004D5B08">
        <w:rPr>
          <w:rFonts w:eastAsia="Times New Roman" w:cstheme="minorHAnsi"/>
          <w:lang w:eastAsia="el-GR"/>
        </w:rPr>
        <w:t xml:space="preserve">Είναι απορίας άξιο γιατί μια σειρά ζητήματα, που καλύπτονται από το γενικότερο </w:t>
      </w:r>
      <w:r w:rsidRPr="004D5B08">
        <w:rPr>
          <w:rFonts w:eastAsia="Times New Roman" w:cstheme="minorHAnsi"/>
          <w:b/>
          <w:bCs/>
          <w:lang w:eastAsia="el-GR"/>
        </w:rPr>
        <w:t>νομοθετικό πλαίσιο και αποτελούν αντικείμενα απασχόλησης του Συλλόγου Διδασκόντων</w:t>
      </w:r>
      <w:r w:rsidRPr="004D5B08">
        <w:rPr>
          <w:rFonts w:eastAsia="Times New Roman" w:cstheme="minorHAnsi"/>
          <w:lang w:eastAsia="el-GR"/>
        </w:rPr>
        <w:t xml:space="preserve"> (π.χ. σχολικές εκδηλώσεις, δράσεις, πρωτοβουλίες, σχολικός εκφοβισμός), εντάσσονται στα πλαίσια του «εσωτερικού κανονισμού. Στην πράξη υποβαθμίζεται και απαξιώνεται ο ρόλος του Συλλόγου Διδασκόντων. </w:t>
      </w:r>
    </w:p>
    <w:p w14:paraId="1F0663F0" w14:textId="77777777" w:rsidR="004D5B08" w:rsidRPr="004D5B08" w:rsidRDefault="004D5B08" w:rsidP="004D5B08">
      <w:pPr>
        <w:numPr>
          <w:ilvl w:val="0"/>
          <w:numId w:val="16"/>
        </w:numPr>
        <w:spacing w:after="0" w:line="240" w:lineRule="auto"/>
        <w:contextualSpacing/>
        <w:jc w:val="both"/>
        <w:rPr>
          <w:rFonts w:cstheme="minorHAnsi"/>
        </w:rPr>
      </w:pPr>
      <w:r w:rsidRPr="004D5B08">
        <w:rPr>
          <w:rFonts w:eastAsia="Times New Roman" w:cstheme="minorHAnsi"/>
          <w:lang w:eastAsia="el-GR"/>
        </w:rPr>
        <w:t>Το Υπουργείο λες και απευθύνεται  σε εισαγγελικά όργανα  και όχι σε δασκάλους των παιδιών αναφέρεται στην «</w:t>
      </w:r>
      <w:r w:rsidRPr="004D5B08">
        <w:rPr>
          <w:rFonts w:eastAsia="Times New Roman" w:cstheme="minorHAnsi"/>
          <w:b/>
          <w:bCs/>
          <w:lang w:eastAsia="el-GR"/>
        </w:rPr>
        <w:t>κατασταλτική» αντιμετώπιση των σχολικών παραπτωμάτων</w:t>
      </w:r>
      <w:r w:rsidRPr="004D5B08">
        <w:rPr>
          <w:rFonts w:eastAsia="Times New Roman" w:cstheme="minorHAnsi"/>
          <w:lang w:eastAsia="el-GR"/>
        </w:rPr>
        <w:t xml:space="preserve">, ενώ σε ζητήματα αντιμετώπισης συμπεριφορών </w:t>
      </w:r>
      <w:r w:rsidRPr="004D5B08">
        <w:rPr>
          <w:rFonts w:eastAsia="Times New Roman" w:cstheme="minorHAnsi"/>
          <w:lang w:val="en-US" w:eastAsia="el-GR"/>
        </w:rPr>
        <w:t>o</w:t>
      </w:r>
      <w:r w:rsidRPr="004D5B08">
        <w:rPr>
          <w:rFonts w:eastAsia="Times New Roman" w:cstheme="minorHAnsi"/>
          <w:lang w:eastAsia="el-GR"/>
        </w:rPr>
        <w:t xml:space="preserve"> κυρίαρχος ρόλος του συλλόγου διδασκόντων υποβαθμίζεται με την ενίσχυση του ρόλου του Διευθυντή, του συμβούλου σχολικής ζωής,  και του Συντονιστή του Εκπαιδευτικού Έργου.</w:t>
      </w:r>
    </w:p>
    <w:p w14:paraId="5334AACE" w14:textId="77777777" w:rsidR="004D5B08" w:rsidRPr="004D5B08" w:rsidRDefault="004D5B08" w:rsidP="004D5B08">
      <w:pPr>
        <w:numPr>
          <w:ilvl w:val="0"/>
          <w:numId w:val="16"/>
        </w:numPr>
        <w:spacing w:after="0" w:line="240" w:lineRule="auto"/>
        <w:contextualSpacing/>
        <w:jc w:val="both"/>
        <w:rPr>
          <w:rFonts w:cstheme="minorHAnsi"/>
        </w:rPr>
      </w:pPr>
      <w:r w:rsidRPr="004D5B08">
        <w:rPr>
          <w:rFonts w:eastAsia="Times New Roman" w:cstheme="minorHAnsi"/>
          <w:lang w:eastAsia="el-GR"/>
        </w:rPr>
        <w:t xml:space="preserve">Εκεί που πραγματικά είναι να απορεί κάποιος είναι που το Υπουργείο αναφέρεται στην ανάγκη να ενισχυθεί το αίσθημα ευθύνης των μαθητών για την </w:t>
      </w:r>
      <w:r w:rsidRPr="004D5B08">
        <w:rPr>
          <w:rFonts w:eastAsia="Times New Roman" w:cstheme="minorHAnsi"/>
          <w:b/>
          <w:bCs/>
          <w:lang w:eastAsia="el-GR"/>
        </w:rPr>
        <w:t>ποιότητα του σχολικού χώρου</w:t>
      </w:r>
      <w:r w:rsidRPr="004D5B08">
        <w:rPr>
          <w:rFonts w:eastAsia="Times New Roman" w:cstheme="minorHAnsi"/>
          <w:lang w:eastAsia="el-GR"/>
        </w:rPr>
        <w:t>. Δεν θα διαφωνούσε φυσικά κανείς με την ανάγκη οι μαθητές να εκτιμούν και να σέβονται τον χώρο του σχολείου. Μήπως όμως πρέπει κάποιος (το κράτος μήπως;) να αρχίσει να φτιάχνει τέτοιους χώρους, «καθαρούς και συντηρημένους χώρους αιθουσών, εργαστηρίων που διαμορφώνουν τον περιβάλλοντα χώρο μέσα στον οποίο είναι δυνατόν να καλλιεργηθεί η ψυχή του παιδιού»;</w:t>
      </w:r>
      <w:r w:rsidRPr="004D5B08">
        <w:rPr>
          <w:rFonts w:cstheme="minorHAnsi"/>
        </w:rPr>
        <w:t xml:space="preserve"> </w:t>
      </w:r>
      <w:r w:rsidRPr="004D5B08">
        <w:rPr>
          <w:rFonts w:eastAsia="Times New Roman" w:cstheme="minorHAnsi"/>
          <w:lang w:eastAsia="el-GR"/>
        </w:rPr>
        <w:t xml:space="preserve">Αντί λοιπόν να φροντίσει για τη σωστή συντήρηση των σχολικών κτιρίων, την κατασκευή νέων, σύγχρονων σχολικών μονάδων  και την αύξηση της κρατικής χρηματοδότησης ώστε μπορούν τα σχολεία να καλύπτουν τις λειτουργικές τους ανάγκες, φτάνει μάλιστα στο σημείο να επιβαρύνει τους γονείς με το κόστος επιδιόρθωσης των «φθορών» που θα προκαλέσουν οι μαθητές. Βρέθηκε, λοιπόν, ο ένοχος για τα κακά χάλια των σχολικών υποδομών. </w:t>
      </w:r>
    </w:p>
    <w:p w14:paraId="268978A7" w14:textId="77777777" w:rsidR="004D5B08" w:rsidRPr="004D5B08" w:rsidRDefault="004D5B08" w:rsidP="004D5B08">
      <w:pPr>
        <w:numPr>
          <w:ilvl w:val="0"/>
          <w:numId w:val="16"/>
        </w:numPr>
        <w:spacing w:after="0" w:line="240" w:lineRule="auto"/>
        <w:contextualSpacing/>
        <w:jc w:val="both"/>
        <w:rPr>
          <w:rFonts w:cstheme="minorHAnsi"/>
        </w:rPr>
      </w:pPr>
      <w:r w:rsidRPr="004D5B08">
        <w:rPr>
          <w:rFonts w:eastAsia="Times New Roman" w:cstheme="minorHAnsi"/>
          <w:lang w:eastAsia="el-GR"/>
        </w:rPr>
        <w:t>Μάλιστα το Υπουργείο σαν έτοιμο από καιρό θεσπίζει την Έκθεση αποτίμησης – ανατροφοδότηση του εσωτερικού Κανονισμού ανά τακτά χρονικά διαστήματα.</w:t>
      </w:r>
    </w:p>
    <w:p w14:paraId="02E67404" w14:textId="77777777" w:rsidR="004D5B08" w:rsidRPr="004D5B08" w:rsidRDefault="004D5B08" w:rsidP="004D5B08">
      <w:pPr>
        <w:numPr>
          <w:ilvl w:val="0"/>
          <w:numId w:val="16"/>
        </w:numPr>
        <w:spacing w:after="0" w:line="240" w:lineRule="auto"/>
        <w:contextualSpacing/>
        <w:jc w:val="both"/>
        <w:rPr>
          <w:rFonts w:eastAsia="Times New Roman" w:cstheme="minorHAnsi"/>
          <w:lang w:eastAsia="el-GR"/>
        </w:rPr>
      </w:pPr>
      <w:r w:rsidRPr="004D5B08">
        <w:rPr>
          <w:rFonts w:eastAsia="Times New Roman" w:cstheme="minorHAnsi"/>
          <w:lang w:eastAsia="el-GR"/>
        </w:rPr>
        <w:t>Ο «εσωτερικός κανονισμός», που μόνο εσωτερικός δεν είναι, σχετίζεται άμεσα με την «εσωτερική και εξωτερική αξιολόγηση».</w:t>
      </w:r>
      <w:r w:rsidRPr="004D5B08">
        <w:rPr>
          <w:rFonts w:eastAsia="Times New Roman" w:cstheme="minorHAnsi"/>
          <w:b/>
          <w:bCs/>
          <w:lang w:eastAsia="el-GR"/>
        </w:rPr>
        <w:t xml:space="preserve"> </w:t>
      </w:r>
      <w:r w:rsidRPr="004D5B08">
        <w:rPr>
          <w:rFonts w:eastAsia="Times New Roman" w:cstheme="minorHAnsi"/>
          <w:bCs/>
          <w:u w:val="single"/>
          <w:lang w:eastAsia="el-GR"/>
        </w:rPr>
        <w:t>Στον θεματικό άξονα 9 (Ηγεσία – Οργάνωση και διοίκηση της σχολικής μονάδας), της Υπουργικής Απόφασης για Εσωτερική και Εξωτερική Αξιολόγηση, αξιολογείται ο δείκτης: Διασφάλιση της εφαρμογής του σχολικού κανονισμού.</w:t>
      </w:r>
      <w:r w:rsidRPr="004D5B08">
        <w:rPr>
          <w:rFonts w:cstheme="minorHAnsi"/>
        </w:rPr>
        <w:t xml:space="preserve"> </w:t>
      </w:r>
      <w:r w:rsidRPr="004D5B08">
        <w:rPr>
          <w:rFonts w:eastAsia="Times New Roman" w:cstheme="minorHAnsi"/>
          <w:lang w:eastAsia="el-GR"/>
        </w:rPr>
        <w:t>Ακόμα και η δημοσίευση του «εσωτερικού κανονισμού» οδηγεί στη σύγκριση, τον ανταγωνισμό και την κατηγοριοποίηση αφού το ίδιο το περιεχόμενό του άπτεται βασικών πλευρών λειτουργίας του σχολείου.</w:t>
      </w:r>
    </w:p>
    <w:p w14:paraId="5DFD6CA8" w14:textId="77777777" w:rsidR="004D5B08" w:rsidRPr="004D5B08" w:rsidRDefault="004D5B08" w:rsidP="004D5B08">
      <w:pPr>
        <w:spacing w:after="0" w:line="240" w:lineRule="auto"/>
        <w:contextualSpacing/>
        <w:jc w:val="both"/>
        <w:rPr>
          <w:rFonts w:cstheme="minorHAnsi"/>
        </w:rPr>
      </w:pPr>
    </w:p>
    <w:p w14:paraId="5E3E5381" w14:textId="61A5C3D3" w:rsidR="004D5B08" w:rsidRPr="004D5B08" w:rsidRDefault="004D5B08" w:rsidP="004D5B08">
      <w:pPr>
        <w:spacing w:after="0" w:line="240" w:lineRule="auto"/>
        <w:ind w:firstLine="360"/>
        <w:contextualSpacing/>
        <w:jc w:val="both"/>
        <w:rPr>
          <w:rFonts w:cstheme="minorHAnsi"/>
        </w:rPr>
      </w:pPr>
      <w:r w:rsidRPr="004D5B08">
        <w:rPr>
          <w:rFonts w:cstheme="minorHAnsi"/>
        </w:rPr>
        <w:t xml:space="preserve">Κανείς δεν αμφισβητεί την χρησιμότητα ύπαρξης κανόνων που αποσκοπούν στη δημιουργία ενός παιδαγωγικού κλίματος ισότητας, εμπιστοσύνης και δημοκρατίας μέσα στο οποίο καλλιεργείται το αίσθημα της ασφάλειας, της υπευθυνότητας, της </w:t>
      </w:r>
      <w:r w:rsidRPr="004D5B08">
        <w:rPr>
          <w:rFonts w:cstheme="minorHAnsi"/>
          <w:bCs/>
        </w:rPr>
        <w:t>αλληλεγγύης και του αλληλοσεβασμού  στα μέλη της σχολικής κοινότητας.</w:t>
      </w:r>
      <w:r w:rsidRPr="004D5B08">
        <w:rPr>
          <w:rFonts w:cstheme="minorHAnsi"/>
        </w:rPr>
        <w:t xml:space="preserve"> Γι’ αυτό άλλωστε, παρότι το ΥΠΑΙΘ νομίζει ότι </w:t>
      </w:r>
      <w:r w:rsidRPr="004D5B08">
        <w:rPr>
          <w:rFonts w:cstheme="minorHAnsi"/>
        </w:rPr>
        <w:lastRenderedPageBreak/>
        <w:t>ανακάλυψε τον τροχό, ο εσωτερικός κανονισμός των σχολείων, συναποφασιζόμενος από εκπαιδευτικούς και εκπαιδευόμενους, υπάρχει εδώ και χρόνια.</w:t>
      </w:r>
    </w:p>
    <w:p w14:paraId="181670FB" w14:textId="77777777" w:rsidR="004D5B08" w:rsidRPr="004D5B08" w:rsidRDefault="004D5B08" w:rsidP="004D5B08">
      <w:pPr>
        <w:spacing w:after="0" w:line="240" w:lineRule="auto"/>
        <w:ind w:firstLine="360"/>
        <w:contextualSpacing/>
        <w:jc w:val="both"/>
        <w:rPr>
          <w:rFonts w:cstheme="minorHAnsi"/>
          <w:b/>
        </w:rPr>
      </w:pPr>
      <w:r w:rsidRPr="004D5B08">
        <w:rPr>
          <w:rFonts w:cstheme="minorHAnsi"/>
        </w:rPr>
        <w:t xml:space="preserve">Ωστόσο, </w:t>
      </w:r>
      <w:r w:rsidRPr="004D5B08">
        <w:rPr>
          <w:rFonts w:cstheme="minorHAnsi"/>
          <w:b/>
        </w:rPr>
        <w:t xml:space="preserve">στο προηγούμενο πλαίσιο, το περιεχόμενο και η θεματολογία των κανόνων αυτών αποφασιζόταν από το Σύλλογο Διδασκόντων σε συνεργασία με τις μαθητικές κοινότητες, χωρίς καμία εμπλοκή εξωσχολικών προσώπων και χωρίς να απαιτείται η έγκριση των ανωτέρων. Το πλαίσιο αυτό έδειχνε την αυτονόητη εμπιστοσύνη στην παιδαγωγική ικανότητα των εκπαιδευτικών. </w:t>
      </w:r>
    </w:p>
    <w:p w14:paraId="2FF8FCFD" w14:textId="77777777" w:rsidR="004D5B08" w:rsidRPr="004D5B08" w:rsidRDefault="004D5B08" w:rsidP="004D5B08">
      <w:pPr>
        <w:spacing w:after="0" w:line="240" w:lineRule="auto"/>
        <w:ind w:firstLine="360"/>
        <w:contextualSpacing/>
        <w:jc w:val="both"/>
        <w:rPr>
          <w:rFonts w:cstheme="minorHAnsi"/>
        </w:rPr>
      </w:pPr>
      <w:r w:rsidRPr="004D5B08">
        <w:rPr>
          <w:rFonts w:cstheme="minorHAnsi"/>
          <w:u w:val="single"/>
        </w:rPr>
        <w:t>Αντιθέτως, με την ΥΑ 13423/ΓΔ4 της υφυπουργού, η πολιτική ηγεσία δείχνει να μην έχει καμία εμπιστοσύνη στο εκπαιδευτικό προσωπικό, αφού φτάνει στο σημείο να δίνει λεπτομερείς οδηγίες ακόμα και για το πώς θα διαχειρίζονται τους αργοπορημένους μαθητές</w:t>
      </w:r>
      <w:r w:rsidRPr="004D5B08">
        <w:rPr>
          <w:rFonts w:cstheme="minorHAnsi"/>
        </w:rPr>
        <w:t>! Η κ. Μακρή που πρόσφατα δήλωσε ότι η τηλεκπαίδευση  είναι απολύτως ισότιμη με την δια ζώσης διδασκαλία, φανερώνοντας την προκλητική της άγνοια, νομίζει ότι γνωρίζει καλύτερα τις παιδαγωγικές μεθόδους αντιμετώπισης των όποιων ζητημάτων προκύπτουν στη σχολική ζωή…</w:t>
      </w:r>
    </w:p>
    <w:p w14:paraId="7E0E4B66" w14:textId="77777777" w:rsidR="004D5B08" w:rsidRPr="004D5B08" w:rsidRDefault="004D5B08" w:rsidP="004D5B08">
      <w:pPr>
        <w:spacing w:after="0" w:line="240" w:lineRule="auto"/>
        <w:ind w:firstLine="360"/>
        <w:contextualSpacing/>
        <w:jc w:val="both"/>
        <w:rPr>
          <w:rFonts w:cstheme="minorHAnsi"/>
        </w:rPr>
      </w:pPr>
      <w:r w:rsidRPr="004D5B08">
        <w:rPr>
          <w:rFonts w:cstheme="minorHAnsi"/>
        </w:rPr>
        <w:t xml:space="preserve">Και σαν να μην επιβαρύνονται αρκετά οι εκπαιδευτικοί από την ανικανότητα και τις εμμονές του ΥΠΑΙΘ, έχουν </w:t>
      </w:r>
      <w:r w:rsidRPr="004D5B08">
        <w:rPr>
          <w:rFonts w:cstheme="minorHAnsi"/>
          <w:b/>
        </w:rPr>
        <w:t>το ΙΕΠ, που ενώ σε όλα τα τεράστια παιδαγωγικά προβλήματα τηρεί σιγήν ιχθύος, δημοσίευσε έναν ενδεικτικό εσωτερικό κανονισμό, που αγνοεί όλες τις επιστημονικές παιδαγωγικές αρχές που διέπουν τη σύνταξη του κανονισμού των σχολείων.</w:t>
      </w:r>
      <w:r w:rsidRPr="004D5B08">
        <w:rPr>
          <w:rFonts w:cstheme="minorHAnsi"/>
        </w:rPr>
        <w:t xml:space="preserve"> Από το μέγεθος του ενδεικτικού αυτού κανονισμού (9 σελίδες!) μέχρι και τους «δείκτες» που προτείνει φανερώνεται η πλήρης άγνοια των παιδαγωγικών αρχών αλλά και η στόχευση του ΙΕΠ. Επαναφέρει μέχρι την «ευπρέπεια» της εμφάνισης των μαθητών, αδιαφορώντας επιδεικτικά για την ανάγκη της καλλιέργειας του σεβασμού στη διαφορετικότητα και της ελευθερίας έκφρασης των μαθητών/τριων, βασικών δικαιωμάτων του παιδιού, όπως αυτά ορίζονται από τους αρμόδιους διεθνείς και εγχώριους οργανισμούς. Ταυτόχρονα, σε κοινή γραμμή με το ΥΠΑΙΘ, προσπαθεί να μεταβιβάζει τις ευθύνες του ΙΕΠ στους εκπαιδευτικούς, προτείνοντας ως «εσωτερικό κανόνα» την υποχρέωση των εκπαιδευτικών στην αυτοεπιμόρφωση! </w:t>
      </w:r>
    </w:p>
    <w:p w14:paraId="056F91ED" w14:textId="77777777" w:rsidR="004D5B08" w:rsidRPr="004D5B08" w:rsidRDefault="004D5B08" w:rsidP="004D5B08">
      <w:pPr>
        <w:spacing w:after="0" w:line="240" w:lineRule="auto"/>
        <w:ind w:firstLine="720"/>
        <w:contextualSpacing/>
        <w:jc w:val="both"/>
        <w:rPr>
          <w:rFonts w:cstheme="minorHAnsi"/>
        </w:rPr>
      </w:pPr>
      <w:r w:rsidRPr="004D5B08">
        <w:rPr>
          <w:rFonts w:cstheme="minorHAnsi"/>
          <w:b/>
        </w:rPr>
        <w:t>Η στόχευση του ΥΠΑΙΘ και του ΙΕΠ για άλλη μία φορά είναι προφανής. Από τη μία ο εξωτερικός έλεγχος των σχολείων, αφού ο «εσωτερικός» κανονισμός και η τήρησή του αποτελούν άξονα αξιολόγησης των σχολείων και από την άλλη η μεταβίβαση των ευθυνών τους στα ίδια τα σχολεία, τους/τις εκπαιδευτικούς και τους/τις μαθητές/τριες.</w:t>
      </w:r>
    </w:p>
    <w:p w14:paraId="243DECF8" w14:textId="77777777" w:rsidR="004D5B08" w:rsidRPr="004D5B08" w:rsidRDefault="004D5B08" w:rsidP="004D5B08">
      <w:pPr>
        <w:spacing w:after="0" w:line="240" w:lineRule="auto"/>
        <w:ind w:firstLine="720"/>
        <w:contextualSpacing/>
        <w:jc w:val="both"/>
        <w:rPr>
          <w:rFonts w:cstheme="minorHAnsi"/>
        </w:rPr>
      </w:pPr>
      <w:r w:rsidRPr="004D5B08">
        <w:rPr>
          <w:rFonts w:cstheme="minorHAnsi"/>
          <w:b/>
        </w:rPr>
        <w:t xml:space="preserve">Καλούμε το ΥΠΑΙΘ και το ΙΕΠ να ασχοληθούν επιτέλους με τα πραγματικά προβλήματα της δημόσιας εκπαίδευσης και να αφήσουν στην άκρη τις ιδεοληπτικές εμμονές τους! </w:t>
      </w:r>
    </w:p>
    <w:p w14:paraId="76B89E96" w14:textId="77777777" w:rsidR="004D5B08" w:rsidRPr="004D5B08" w:rsidRDefault="004D5B08" w:rsidP="004D5B08">
      <w:pPr>
        <w:spacing w:after="0" w:line="240" w:lineRule="auto"/>
        <w:ind w:firstLine="720"/>
        <w:contextualSpacing/>
        <w:jc w:val="both"/>
        <w:rPr>
          <w:rFonts w:cstheme="minorHAnsi"/>
        </w:rPr>
      </w:pPr>
      <w:r w:rsidRPr="004D5B08">
        <w:rPr>
          <w:rFonts w:cstheme="minorHAnsi"/>
          <w:b/>
        </w:rPr>
        <w:t>Να αποσύρουν την ΥΑ 13423/ΓΔ4 και να δείξουν επιτέλους την απαραίτητη εμπιστοσύνη στους εκπαιδευτικούς, που έτσι κι αλλιώς κρατούν μόνοι τους όρθιο το δημόσιο σχολείο!</w:t>
      </w:r>
    </w:p>
    <w:p w14:paraId="23A8DF0C" w14:textId="77777777" w:rsidR="004D5B08" w:rsidRPr="004D5B08" w:rsidRDefault="004D5B08" w:rsidP="004D5B08">
      <w:pPr>
        <w:spacing w:after="0" w:line="240" w:lineRule="auto"/>
        <w:ind w:firstLine="720"/>
        <w:contextualSpacing/>
        <w:jc w:val="both"/>
        <w:rPr>
          <w:rFonts w:cstheme="minorHAnsi"/>
          <w:b/>
        </w:rPr>
      </w:pPr>
      <w:r w:rsidRPr="004D5B08">
        <w:rPr>
          <w:rFonts w:cstheme="minorHAnsi"/>
          <w:b/>
        </w:rPr>
        <w:t>Καλούμε τους Συλλόγους Διδασκόντων να μην χρησιμοποιήσουν τον ενδεικτικό εσωτερικό κανονισμό που προτείνει το ΙΕΠ, αλλά να επικαιροποιήσουν τον ήδη υπάρχοντα κανονισμό του σχολείου τους με όσα οι ίδιοι και οι μαθητές/τριες τους κρίνουν απαραίτητα.</w:t>
      </w:r>
    </w:p>
    <w:p w14:paraId="2081A142" w14:textId="77777777" w:rsidR="004D5B08" w:rsidRPr="004D5B08" w:rsidRDefault="004D5B08" w:rsidP="004D5B08">
      <w:pPr>
        <w:spacing w:after="0" w:line="240" w:lineRule="auto"/>
        <w:ind w:firstLine="720"/>
        <w:contextualSpacing/>
        <w:jc w:val="both"/>
        <w:rPr>
          <w:rFonts w:cstheme="minorHAnsi"/>
          <w:b/>
        </w:rPr>
      </w:pPr>
      <w:r w:rsidRPr="004D5B08">
        <w:rPr>
          <w:rFonts w:cstheme="minorHAnsi"/>
          <w:b/>
        </w:rPr>
        <w:t>Καλούμε τους/τις συναδέλφους να συνεχίσουν με την ίδια παιδαγωγική ευσυνειδησία το εκπαιδευτικό τους έργο, αγνοώντας πλήρως τις αναχρονιστικές και αντιεπιστημονικές υποδείξεις του ΙΕΠ και του ΥΠΑΙΘ. Ο σχολικός κανονισμός αποτελεί ένα «παιδαγωγικό συμβόλαιο» μεταξύ εκπαιδευτικών και μαθητών/τριών και μόνο ως τέτοιο μπορεί να φανεί χρήσιμος και να γίνει αποδεκτός.</w:t>
      </w:r>
    </w:p>
    <w:p w14:paraId="281428E9" w14:textId="77777777" w:rsidR="004D5B08" w:rsidRPr="004D5B08" w:rsidRDefault="004D5B08" w:rsidP="004D5B08">
      <w:pPr>
        <w:spacing w:after="0" w:line="240" w:lineRule="auto"/>
        <w:contextualSpacing/>
        <w:jc w:val="both"/>
        <w:rPr>
          <w:rFonts w:cstheme="minorHAnsi"/>
          <w:b/>
        </w:rPr>
      </w:pPr>
    </w:p>
    <w:p w14:paraId="660E28E9" w14:textId="77777777" w:rsidR="008429EA" w:rsidRDefault="008429EA" w:rsidP="00D7662C">
      <w:pPr>
        <w:spacing w:before="120" w:after="120"/>
        <w:jc w:val="both"/>
        <w:rPr>
          <w:rFonts w:ascii="Liberation Serif" w:eastAsia="Times New Roman" w:hAnsi="Liberation Serif" w:cs="Helvetica"/>
          <w:bCs/>
          <w:color w:val="222222"/>
          <w:sz w:val="24"/>
          <w:szCs w:val="24"/>
          <w:lang w:eastAsia="el-GR"/>
        </w:rPr>
      </w:pPr>
    </w:p>
    <w:p w14:paraId="66341464" w14:textId="76FF2421"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51A0418" w14:textId="421BDB2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41B3E147" w14:textId="2CD646C6"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365D593" w14:textId="64BF325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15FBB19E" w14:textId="77777777" w:rsidR="00D7662C" w:rsidRP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6FD24CC1" w14:textId="10E1F818" w:rsidR="001B31BC" w:rsidRPr="00B571E0" w:rsidRDefault="001B31BC" w:rsidP="00DC6E2F">
      <w:pPr>
        <w:spacing w:before="120" w:after="120"/>
        <w:jc w:val="center"/>
        <w:rPr>
          <w:rFonts w:ascii="Liberation Serif" w:hAnsi="Liberation Serif"/>
          <w:b/>
          <w:bCs/>
          <w:sz w:val="24"/>
          <w:szCs w:val="24"/>
        </w:rPr>
      </w:pPr>
      <w:r>
        <w:rPr>
          <w:noProof/>
          <w:lang w:eastAsia="el-GR"/>
        </w:rPr>
        <w:drawing>
          <wp:inline distT="0" distB="0" distL="0" distR="0" wp14:anchorId="033AFAC8" wp14:editId="26161D65">
            <wp:extent cx="6041390" cy="10096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7005" cy="1017273"/>
                    </a:xfrm>
                    <a:prstGeom prst="rect">
                      <a:avLst/>
                    </a:prstGeom>
                  </pic:spPr>
                </pic:pic>
              </a:graphicData>
            </a:graphic>
          </wp:inline>
        </w:drawing>
      </w:r>
      <w:bookmarkEnd w:id="0"/>
    </w:p>
    <w:sectPr w:rsidR="001B31BC" w:rsidRPr="00B571E0" w:rsidSect="00372ABF">
      <w:pgSz w:w="12240" w:h="15840"/>
      <w:pgMar w:top="709" w:right="474" w:bottom="426"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Liberation Serif">
    <w:altName w:val="Cambria"/>
    <w:charset w:val="01"/>
    <w:family w:val="roman"/>
    <w:pitch w:val="variable"/>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04A02318"/>
    <w:multiLevelType w:val="hybridMultilevel"/>
    <w:tmpl w:val="19E0309A"/>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 w15:restartNumberingAfterBreak="0">
    <w:nsid w:val="14484C5A"/>
    <w:multiLevelType w:val="hybridMultilevel"/>
    <w:tmpl w:val="CC8CA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8D1025"/>
    <w:multiLevelType w:val="multilevel"/>
    <w:tmpl w:val="0974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35BB"/>
    <w:multiLevelType w:val="hybridMultilevel"/>
    <w:tmpl w:val="1D2C9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E70703"/>
    <w:multiLevelType w:val="hybridMultilevel"/>
    <w:tmpl w:val="5D7E24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54550256"/>
    <w:multiLevelType w:val="hybridMultilevel"/>
    <w:tmpl w:val="E14CD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7BF7F89"/>
    <w:multiLevelType w:val="hybridMultilevel"/>
    <w:tmpl w:val="1A5806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num w:numId="1">
    <w:abstractNumId w:val="10"/>
  </w:num>
  <w:num w:numId="2">
    <w:abstractNumId w:val="8"/>
  </w:num>
  <w:num w:numId="3">
    <w:abstractNumId w:val="15"/>
  </w:num>
  <w:num w:numId="4">
    <w:abstractNumId w:val="0"/>
  </w:num>
  <w:num w:numId="5">
    <w:abstractNumId w:val="3"/>
  </w:num>
  <w:num w:numId="6">
    <w:abstractNumId w:val="7"/>
  </w:num>
  <w:num w:numId="7">
    <w:abstractNumId w:val="13"/>
  </w:num>
  <w:num w:numId="8">
    <w:abstractNumId w:val="9"/>
  </w:num>
  <w:num w:numId="9">
    <w:abstractNumId w:val="14"/>
  </w:num>
  <w:num w:numId="10">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11">
    <w:abstractNumId w:val="1"/>
  </w:num>
  <w:num w:numId="12">
    <w:abstractNumId w:val="2"/>
  </w:num>
  <w:num w:numId="13">
    <w:abstractNumId w:val="6"/>
  </w:num>
  <w:num w:numId="14">
    <w:abstractNumId w:val="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05542"/>
    <w:rsid w:val="000108CC"/>
    <w:rsid w:val="000149F9"/>
    <w:rsid w:val="00034549"/>
    <w:rsid w:val="00081B6B"/>
    <w:rsid w:val="000A2458"/>
    <w:rsid w:val="000D0836"/>
    <w:rsid w:val="000D2594"/>
    <w:rsid w:val="001331BA"/>
    <w:rsid w:val="00163458"/>
    <w:rsid w:val="001B31BC"/>
    <w:rsid w:val="00213915"/>
    <w:rsid w:val="002249E6"/>
    <w:rsid w:val="00262409"/>
    <w:rsid w:val="002E710F"/>
    <w:rsid w:val="00300B6B"/>
    <w:rsid w:val="00326B3F"/>
    <w:rsid w:val="00372ABF"/>
    <w:rsid w:val="00382250"/>
    <w:rsid w:val="003C5FEF"/>
    <w:rsid w:val="003E11C7"/>
    <w:rsid w:val="00405484"/>
    <w:rsid w:val="0045675F"/>
    <w:rsid w:val="004576A3"/>
    <w:rsid w:val="00494C50"/>
    <w:rsid w:val="004A2BD5"/>
    <w:rsid w:val="004A6D77"/>
    <w:rsid w:val="004D5B08"/>
    <w:rsid w:val="004F6CF3"/>
    <w:rsid w:val="00527327"/>
    <w:rsid w:val="005346C0"/>
    <w:rsid w:val="00536ACE"/>
    <w:rsid w:val="005B2987"/>
    <w:rsid w:val="00630534"/>
    <w:rsid w:val="00631C30"/>
    <w:rsid w:val="00632F08"/>
    <w:rsid w:val="00664879"/>
    <w:rsid w:val="006D4F8E"/>
    <w:rsid w:val="0071385B"/>
    <w:rsid w:val="00724841"/>
    <w:rsid w:val="00752728"/>
    <w:rsid w:val="007722A8"/>
    <w:rsid w:val="007903AB"/>
    <w:rsid w:val="007B119D"/>
    <w:rsid w:val="0080477A"/>
    <w:rsid w:val="00816332"/>
    <w:rsid w:val="008429EA"/>
    <w:rsid w:val="00847E5A"/>
    <w:rsid w:val="0085546F"/>
    <w:rsid w:val="008668B4"/>
    <w:rsid w:val="0086708B"/>
    <w:rsid w:val="00885958"/>
    <w:rsid w:val="008E3FDD"/>
    <w:rsid w:val="008F26E6"/>
    <w:rsid w:val="00910693"/>
    <w:rsid w:val="009567FB"/>
    <w:rsid w:val="00964BF2"/>
    <w:rsid w:val="00987BA5"/>
    <w:rsid w:val="009E4818"/>
    <w:rsid w:val="009F1FE8"/>
    <w:rsid w:val="00A446EB"/>
    <w:rsid w:val="00A612CD"/>
    <w:rsid w:val="00AA0413"/>
    <w:rsid w:val="00AF5B2C"/>
    <w:rsid w:val="00B46608"/>
    <w:rsid w:val="00B550F4"/>
    <w:rsid w:val="00B6372D"/>
    <w:rsid w:val="00B85A72"/>
    <w:rsid w:val="00C23B8E"/>
    <w:rsid w:val="00D00AF1"/>
    <w:rsid w:val="00D5661A"/>
    <w:rsid w:val="00D7662C"/>
    <w:rsid w:val="00DB2180"/>
    <w:rsid w:val="00DB280F"/>
    <w:rsid w:val="00DC6E2F"/>
    <w:rsid w:val="00DD4E6F"/>
    <w:rsid w:val="00DF4CBB"/>
    <w:rsid w:val="00DF6572"/>
    <w:rsid w:val="00E36BDA"/>
    <w:rsid w:val="00EE566B"/>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character" w:styleId="a9">
    <w:name w:val="Unresolved Mention"/>
    <w:basedOn w:val="a0"/>
    <w:uiPriority w:val="99"/>
    <w:semiHidden/>
    <w:unhideWhenUsed/>
    <w:rsid w:val="00C23B8E"/>
    <w:rPr>
      <w:color w:val="605E5C"/>
      <w:shd w:val="clear" w:color="auto" w:fill="E1DFDD"/>
    </w:rPr>
  </w:style>
  <w:style w:type="character" w:styleId="aa">
    <w:name w:val="Strong"/>
    <w:uiPriority w:val="22"/>
    <w:qFormat/>
    <w:rsid w:val="00964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5249">
      <w:bodyDiv w:val="1"/>
      <w:marLeft w:val="0"/>
      <w:marRight w:val="0"/>
      <w:marTop w:val="0"/>
      <w:marBottom w:val="0"/>
      <w:divBdr>
        <w:top w:val="none" w:sz="0" w:space="0" w:color="auto"/>
        <w:left w:val="none" w:sz="0" w:space="0" w:color="auto"/>
        <w:bottom w:val="none" w:sz="0" w:space="0" w:color="auto"/>
        <w:right w:val="none" w:sz="0" w:space="0" w:color="auto"/>
      </w:divBdr>
    </w:div>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621545052">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 w:id="1457336219">
      <w:bodyDiv w:val="1"/>
      <w:marLeft w:val="0"/>
      <w:marRight w:val="0"/>
      <w:marTop w:val="0"/>
      <w:marBottom w:val="0"/>
      <w:divBdr>
        <w:top w:val="none" w:sz="0" w:space="0" w:color="auto"/>
        <w:left w:val="none" w:sz="0" w:space="0" w:color="auto"/>
        <w:bottom w:val="none" w:sz="0" w:space="0" w:color="auto"/>
        <w:right w:val="none" w:sz="0" w:space="0" w:color="auto"/>
      </w:divBdr>
    </w:div>
    <w:div w:id="152405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1223</Words>
  <Characters>6609</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3</cp:revision>
  <dcterms:created xsi:type="dcterms:W3CDTF">2021-03-16T18:25:00Z</dcterms:created>
  <dcterms:modified xsi:type="dcterms:W3CDTF">2021-03-16T18:32:00Z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